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b/>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附件2</w:t>
      </w:r>
    </w:p>
    <w:p>
      <w:pPr>
        <w:spacing w:line="56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sz w:val="40"/>
          <w:szCs w:val="40"/>
          <w14:textFill>
            <w14:solidFill>
              <w14:schemeClr w14:val="tx1"/>
            </w14:solidFill>
          </w14:textFill>
        </w:rPr>
      </w:pPr>
      <w:bookmarkStart w:id="0" w:name="OLE_LINK2"/>
      <w:bookmarkStart w:id="1" w:name="OLE_LINK1"/>
      <w:r>
        <w:rPr>
          <w:rFonts w:ascii="Times New Roman" w:hAnsi="Times New Roman" w:eastAsia="方正小标宋简体" w:cs="Times New Roman"/>
          <w:color w:val="000000" w:themeColor="text1"/>
          <w:sz w:val="40"/>
          <w:szCs w:val="40"/>
          <w14:textFill>
            <w14:solidFill>
              <w14:schemeClr w14:val="tx1"/>
            </w14:solidFill>
          </w14:textFill>
        </w:rPr>
        <w:t>第五届全国高校网络教育优秀作品推选展示活动</w:t>
      </w:r>
    </w:p>
    <w:bookmarkEnd w:id="0"/>
    <w:bookmarkEnd w:id="1"/>
    <w:p>
      <w:pPr>
        <w:spacing w:line="560" w:lineRule="exact"/>
        <w:jc w:val="center"/>
        <w:rPr>
          <w:rFonts w:ascii="Times New Roman" w:hAnsi="Times New Roman" w:cs="Times New Roman"/>
          <w:color w:val="000000" w:themeColor="text1"/>
          <w:sz w:val="40"/>
          <w:szCs w:val="40"/>
          <w14:textFill>
            <w14:solidFill>
              <w14:schemeClr w14:val="tx1"/>
            </w14:solidFill>
          </w14:textFill>
        </w:rPr>
      </w:pPr>
      <w:r>
        <w:rPr>
          <w:rFonts w:ascii="Times New Roman" w:hAnsi="Times New Roman" w:eastAsia="方正小标宋简体" w:cs="Times New Roman"/>
          <w:color w:val="000000" w:themeColor="text1"/>
          <w:sz w:val="40"/>
          <w:szCs w:val="40"/>
          <w14:textFill>
            <w14:solidFill>
              <w14:schemeClr w14:val="tx1"/>
            </w14:solidFill>
          </w14:textFill>
        </w:rPr>
        <w:t>工作方案</w:t>
      </w:r>
    </w:p>
    <w:p>
      <w:pPr>
        <w:spacing w:line="560" w:lineRule="exact"/>
        <w:rPr>
          <w:rFonts w:ascii="Times New Roman" w:hAnsi="Times New Roman" w:eastAsia="仿宋" w:cs="Times New Roman"/>
          <w:color w:val="000000" w:themeColor="text1"/>
          <w:sz w:val="30"/>
          <w:szCs w:val="30"/>
          <w14:textFill>
            <w14:solidFill>
              <w14:schemeClr w14:val="tx1"/>
            </w14:solidFill>
          </w14:textFill>
        </w:rPr>
      </w:pP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为深入学习贯彻习近平新时代中国特色社会主义思想，全面贯彻党的十九大和十九届二中、三中、四中</w:t>
      </w:r>
      <w:r>
        <w:rPr>
          <w:rFonts w:hint="eastAsia" w:ascii="Times New Roman" w:hAnsi="Times New Roman" w:eastAsia="仿宋_GB2312" w:cs="Times New Roman"/>
          <w:color w:val="000000"/>
          <w:kern w:val="0"/>
          <w:sz w:val="32"/>
          <w:szCs w:val="32"/>
        </w:rPr>
        <w:t>、五中</w:t>
      </w:r>
      <w:r>
        <w:rPr>
          <w:rFonts w:ascii="Times New Roman" w:hAnsi="Times New Roman" w:eastAsia="仿宋_GB2312"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100周年。</w:t>
      </w: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学习</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践使命，传播青春正能量，争做校园好网民。</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、活动对象</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高校思想政治工作干部、党务工作干部或从事相关领域理论研究和实践工作的专业教师均可自愿免费参加。</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本次活动征集优秀网络文章、优秀微课、优秀工作案例、优秀新媒体作品</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类作品。</w:t>
      </w:r>
      <w:r>
        <w:rPr>
          <w:rFonts w:ascii="Times New Roman" w:hAnsi="Times New Roman" w:eastAsia="仿宋_GB2312" w:cs="Times New Roman"/>
          <w:kern w:val="0"/>
          <w:sz w:val="32"/>
          <w:szCs w:val="32"/>
        </w:rPr>
        <w:t>所有作品须为</w:t>
      </w:r>
      <w:r>
        <w:rPr>
          <w:rFonts w:ascii="Times New Roman" w:hAnsi="Times New Roman" w:eastAsia="仿宋_GB2312" w:cs="Times New Roman"/>
          <w:color w:val="000000"/>
          <w:kern w:val="0"/>
          <w:sz w:val="32"/>
          <w:szCs w:val="32"/>
        </w:rPr>
        <w:t>2019年10月1日至活动提交截止日期间创作的作品。作品征集时间为</w:t>
      </w:r>
      <w:r>
        <w:rPr>
          <w:rFonts w:hint="eastAsia" w:ascii="Times New Roman" w:hAnsi="Times New Roman" w:eastAsia="仿宋_GB2312" w:cs="Times New Roman"/>
          <w:color w:val="000000"/>
          <w:kern w:val="0"/>
          <w:sz w:val="32"/>
          <w:szCs w:val="32"/>
        </w:rPr>
        <w:t>2020年12月18日至2021年</w:t>
      </w: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26</w:t>
      </w:r>
      <w:r>
        <w:rPr>
          <w:rFonts w:hint="eastAsia" w:ascii="Times New Roman" w:hAnsi="Times New Roman" w:eastAsia="仿宋_GB2312" w:cs="Times New Roman"/>
          <w:color w:val="000000"/>
          <w:kern w:val="0"/>
          <w:sz w:val="32"/>
          <w:szCs w:val="32"/>
        </w:rPr>
        <w:t>日</w:t>
      </w:r>
      <w:r>
        <w:rPr>
          <w:rFonts w:ascii="Times New Roman" w:hAnsi="Times New Roman" w:eastAsia="仿宋_GB2312" w:cs="Times New Roman"/>
          <w:color w:val="000000"/>
          <w:kern w:val="0"/>
          <w:sz w:val="32"/>
          <w:szCs w:val="32"/>
        </w:rPr>
        <w:t>。</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hAnsi="Times New Roman" w:eastAsia="仿宋_GB2312" w:cs="Times New Roman"/>
          <w:color w:val="000000"/>
          <w:kern w:val="0"/>
          <w:sz w:val="32"/>
          <w:szCs w:val="32"/>
        </w:rPr>
        <w:t>1</w:t>
      </w:r>
      <w:r>
        <w:rPr>
          <w:rFonts w:hint="eastAsia" w:ascii="仿宋_GB2312" w:hAnsi="仿宋" w:eastAsia="仿宋_GB2312" w:cs="宋体"/>
          <w:color w:val="000000"/>
          <w:kern w:val="0"/>
          <w:sz w:val="32"/>
          <w:szCs w:val="32"/>
        </w:rPr>
        <w:t>人，且必须为网络文章第一作者。</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优秀工作案例分为两种。一是工作</w:t>
      </w:r>
      <w:r>
        <w:rPr>
          <w:rFonts w:ascii="仿宋_GB2312" w:hAnsi="仿宋" w:eastAsia="仿宋_GB2312" w:cs="宋体"/>
          <w:kern w:val="0"/>
          <w:sz w:val="32"/>
          <w:szCs w:val="32"/>
        </w:rPr>
        <w:t>案例</w:t>
      </w:r>
      <w:r>
        <w:rPr>
          <w:rFonts w:hint="eastAsia" w:ascii="仿宋_GB2312" w:hAnsi="仿宋" w:eastAsia="仿宋_GB2312" w:cs="宋体"/>
          <w:kern w:val="0"/>
          <w:sz w:val="32"/>
          <w:szCs w:val="32"/>
        </w:rPr>
        <w:t>,指个人或团队（高校网络思政工作室、理论社团、心理咨询室、创新创业工作室等）在创新网络思想政治工作、提升师生网络素</w:t>
      </w:r>
      <w:r>
        <w:rPr>
          <w:rFonts w:hint="eastAsia" w:ascii="仿宋_GB2312" w:hAnsi="仿宋" w:eastAsia="仿宋_GB2312" w:cs="宋体"/>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hAnsi="仿宋" w:eastAsia="仿宋_GB2312" w:cs="宋体"/>
          <w:color w:val="000000"/>
          <w:kern w:val="0"/>
          <w:sz w:val="32"/>
          <w:szCs w:val="32"/>
        </w:rPr>
        <w:t>分析</w:t>
      </w:r>
      <w:r>
        <w:rPr>
          <w:rFonts w:hint="eastAsia" w:ascii="仿宋_GB2312" w:hAnsi="仿宋" w:eastAsia="仿宋_GB2312" w:cs="宋体"/>
          <w:color w:val="000000"/>
          <w:kern w:val="0"/>
          <w:sz w:val="32"/>
          <w:szCs w:val="32"/>
        </w:rPr>
        <w:t>,指个人</w:t>
      </w:r>
      <w:r>
        <w:rPr>
          <w:rFonts w:ascii="仿宋_GB2312" w:hAnsi="仿宋" w:eastAsia="仿宋_GB2312" w:cs="宋体"/>
          <w:color w:val="000000"/>
          <w:kern w:val="0"/>
          <w:sz w:val="32"/>
          <w:szCs w:val="32"/>
        </w:rPr>
        <w:t>或团队</w:t>
      </w:r>
      <w:r>
        <w:rPr>
          <w:rFonts w:hint="eastAsia" w:ascii="仿宋_GB2312" w:hAnsi="仿宋" w:eastAsia="仿宋_GB2312" w:cs="宋体"/>
          <w:color w:val="000000"/>
          <w:kern w:val="0"/>
          <w:sz w:val="32"/>
          <w:szCs w:val="32"/>
        </w:rPr>
        <w:t>在开展大学生</w:t>
      </w:r>
      <w:r>
        <w:rPr>
          <w:rFonts w:ascii="仿宋_GB2312" w:hAnsi="仿宋" w:eastAsia="仿宋_GB2312" w:cs="宋体"/>
          <w:color w:val="000000"/>
          <w:kern w:val="0"/>
          <w:sz w:val="32"/>
          <w:szCs w:val="32"/>
        </w:rPr>
        <w:t>思想政治教育和</w:t>
      </w:r>
      <w:r>
        <w:rPr>
          <w:rFonts w:hint="eastAsia" w:ascii="仿宋_GB2312" w:hAnsi="仿宋" w:eastAsia="仿宋_GB2312" w:cs="宋体"/>
          <w:color w:val="000000"/>
          <w:kern w:val="0"/>
          <w:sz w:val="32"/>
          <w:szCs w:val="32"/>
        </w:rPr>
        <w:t>学生</w:t>
      </w:r>
      <w:r>
        <w:rPr>
          <w:rFonts w:ascii="仿宋_GB2312" w:hAnsi="仿宋" w:eastAsia="仿宋_GB2312" w:cs="宋体"/>
          <w:color w:val="000000"/>
          <w:kern w:val="0"/>
          <w:sz w:val="32"/>
          <w:szCs w:val="32"/>
        </w:rPr>
        <w:t>日常管理工作</w:t>
      </w:r>
      <w:r>
        <w:rPr>
          <w:rFonts w:hint="eastAsia" w:ascii="仿宋_GB2312" w:hAnsi="仿宋" w:eastAsia="仿宋_GB2312" w:cs="宋体"/>
          <w:color w:val="000000"/>
          <w:kern w:val="0"/>
          <w:sz w:val="32"/>
          <w:szCs w:val="32"/>
        </w:rPr>
        <w:t>中，对</w:t>
      </w:r>
      <w:r>
        <w:rPr>
          <w:rFonts w:ascii="仿宋_GB2312" w:hAnsi="仿宋" w:eastAsia="仿宋_GB2312" w:cs="宋体"/>
          <w:color w:val="000000"/>
          <w:kern w:val="0"/>
          <w:sz w:val="32"/>
          <w:szCs w:val="32"/>
        </w:rPr>
        <w:t>遇到的</w:t>
      </w:r>
      <w:r>
        <w:rPr>
          <w:rFonts w:hint="eastAsia" w:ascii="仿宋_GB2312" w:hAnsi="仿宋" w:eastAsia="仿宋_GB2312" w:cs="宋体"/>
          <w:color w:val="000000"/>
          <w:kern w:val="0"/>
          <w:sz w:val="32"/>
          <w:szCs w:val="32"/>
        </w:rPr>
        <w:t>热点、难点、重点、突发事件、典型事例等利用网络进行释疑解惑和深度辅导过程</w:t>
      </w:r>
      <w:r>
        <w:rPr>
          <w:rFonts w:ascii="仿宋_GB2312" w:hAnsi="仿宋" w:eastAsia="仿宋_GB2312" w:cs="宋体"/>
          <w:color w:val="000000"/>
          <w:kern w:val="0"/>
          <w:sz w:val="32"/>
          <w:szCs w:val="32"/>
        </w:rPr>
        <w:t>中</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好</w:t>
      </w:r>
      <w:r>
        <w:rPr>
          <w:rFonts w:ascii="仿宋_GB2312" w:hAnsi="仿宋" w:eastAsia="仿宋_GB2312" w:cs="宋体"/>
          <w:color w:val="000000"/>
          <w:kern w:val="0"/>
          <w:sz w:val="32"/>
          <w:szCs w:val="32"/>
        </w:rPr>
        <w:t>经验</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好做法</w:t>
      </w:r>
      <w:r>
        <w:rPr>
          <w:rFonts w:hint="eastAsia" w:ascii="仿宋_GB2312" w:hAnsi="仿宋" w:eastAsia="仿宋_GB2312" w:cs="宋体"/>
          <w:color w:val="000000"/>
          <w:kern w:val="0"/>
          <w:sz w:val="32"/>
          <w:szCs w:val="32"/>
        </w:rPr>
        <w:t>，以及在此基础上进行剖析、总结、</w:t>
      </w:r>
      <w:r>
        <w:rPr>
          <w:rFonts w:ascii="仿宋_GB2312" w:hAnsi="仿宋" w:eastAsia="仿宋_GB2312" w:cs="宋体"/>
          <w:color w:val="000000"/>
          <w:kern w:val="0"/>
          <w:sz w:val="32"/>
          <w:szCs w:val="32"/>
        </w:rPr>
        <w:t>提炼</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新</w:t>
      </w:r>
      <w:r>
        <w:rPr>
          <w:rFonts w:ascii="仿宋_GB2312" w:hAnsi="仿宋" w:eastAsia="仿宋_GB2312" w:cs="宋体"/>
          <w:color w:val="000000"/>
          <w:kern w:val="0"/>
          <w:sz w:val="32"/>
          <w:szCs w:val="32"/>
        </w:rPr>
        <w:t>对策新</w:t>
      </w:r>
      <w:r>
        <w:rPr>
          <w:rFonts w:hint="eastAsia" w:ascii="仿宋_GB2312" w:hAnsi="仿宋" w:eastAsia="仿宋_GB2312" w:cs="宋体"/>
          <w:color w:val="000000"/>
          <w:kern w:val="0"/>
          <w:sz w:val="32"/>
          <w:szCs w:val="32"/>
        </w:rPr>
        <w:t>经验。</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仿宋_GB2312" w:hAnsi="仿宋" w:eastAsia="仿宋_GB2312" w:cs="宋体"/>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w:t>
      </w:r>
      <w:r>
        <w:rPr>
          <w:rFonts w:ascii="Times New Roman" w:hAnsi="Times New Roman" w:eastAsia="仿宋_GB2312" w:cs="Times New Roman"/>
          <w:color w:val="000000"/>
          <w:kern w:val="0"/>
          <w:sz w:val="32"/>
          <w:szCs w:val="32"/>
        </w:rPr>
        <w:t>、重点突出，字数3000字以上，可配以说明图片和视频。每件作品作者限3人以内。</w:t>
      </w:r>
    </w:p>
    <w:p>
      <w:pPr>
        <w:wordWrap w:val="0"/>
        <w:spacing w:line="60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优秀微课可围绕建党100周年，结合“四史”学习教育，反映“网上重走长征路”暨“四史”学习的相关知识点；围绕高校思想政治工作中的某个工作案例、经典工作场景、某个工作要点、教学环节、实践活动展开；围绕课程、科研、实践、文化、网络、心理、管理、服务、资助、组织等育人主题的微课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微课作品片长不超过10分钟；画质清晰，声音清楚，提倡标注字幕。每件作品作者限3人以内。</w:t>
      </w:r>
    </w:p>
    <w:p>
      <w:pPr>
        <w:wordWrap w:val="0"/>
        <w:spacing w:line="60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优秀新媒体作品体现高校在思想政治工作中的创新方式方法，运用新媒体手段进行的宣传报道、经验分享及成果展示等，作品内容包括“四史”学习教育、时政解读、思政创新、校园文化、经典诵读、谈心谈话等。作品在网络上有较大影响力，有较高的转发、评论和引用量。优秀新媒体作品包括短视频、微电影、公益广告、校园MV、音频、H5作品、图解、漫画、长图及动图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片长不超过10分钟；画质清晰，声音清楚，提倡标注字幕。图解类、长图类、漫画类提交图片文件格式为JPEG。动图类提交图片文件格式为GIF。H5页面类提交作品网络链接。音频作品录音时长不超过5分钟，格式统一为MP3，以Word形式提供音频文字，保证音质清晰流畅，有听觉美感，可根据需要配音效或进行其他后期制作。每件作品作者限6人以内。</w:t>
      </w:r>
    </w:p>
    <w:p>
      <w:pPr>
        <w:wordWrap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作品</w:t>
      </w:r>
      <w:r>
        <w:rPr>
          <w:rFonts w:hint="eastAsia" w:ascii="黑体" w:hAnsi="黑体" w:eastAsia="黑体" w:cs="Times New Roman"/>
          <w:sz w:val="32"/>
          <w:szCs w:val="32"/>
        </w:rPr>
        <w:t>推荐</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楷体_GB2312" w:hAnsi="Times New Roman" w:eastAsia="楷体_GB2312" w:cs="Times New Roman"/>
          <w:b/>
          <w:bCs/>
          <w:sz w:val="32"/>
          <w:szCs w:val="32"/>
        </w:rPr>
        <w:t>（一）推荐数量</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教育部直属高校及部省合建高校推荐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每校可推荐每类作品</w:t>
      </w:r>
      <w:r>
        <w:rPr>
          <w:rFonts w:hint="eastAsia" w:ascii="Times New Roman" w:hAnsi="Times New Roman" w:eastAsia="仿宋_GB2312" w:cs="宋体"/>
          <w:color w:val="000000"/>
          <w:kern w:val="0"/>
          <w:sz w:val="32"/>
          <w:szCs w:val="32"/>
        </w:rPr>
        <w:t>8</w:t>
      </w:r>
      <w:r>
        <w:rPr>
          <w:rFonts w:hint="eastAsia" w:ascii="仿宋_GB2312" w:hAnsi="仿宋" w:eastAsia="仿宋_GB2312" w:cs="宋体"/>
          <w:color w:val="000000"/>
          <w:kern w:val="0"/>
          <w:sz w:val="32"/>
          <w:szCs w:val="32"/>
        </w:rPr>
        <w:t>件，推荐作品直接进入复选环节。</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省级教育工作部门推荐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属地普通高等学校数（除教育部直属高校及部省合建高校外，但含其他部委属高校）超过</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所（含</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所）的各省（区、市）教育工作部门，可推荐每类作品</w:t>
      </w:r>
      <w:r>
        <w:rPr>
          <w:rFonts w:hint="eastAsia" w:ascii="Times New Roman" w:hAnsi="Times New Roman" w:eastAsia="仿宋_GB2312" w:cs="宋体"/>
          <w:color w:val="000000"/>
          <w:kern w:val="0"/>
          <w:sz w:val="32"/>
          <w:szCs w:val="32"/>
        </w:rPr>
        <w:t>25件</w:t>
      </w:r>
      <w:r>
        <w:rPr>
          <w:rFonts w:hint="eastAsia" w:ascii="仿宋_GB2312" w:hAnsi="仿宋" w:eastAsia="仿宋_GB2312" w:cs="宋体"/>
          <w:color w:val="000000"/>
          <w:kern w:val="0"/>
          <w:sz w:val="32"/>
          <w:szCs w:val="32"/>
        </w:rPr>
        <w:t>；属地普通高等学校数在</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所及以下的各省（区、市）教育工作部门，可推荐每类作品</w:t>
      </w:r>
      <w:r>
        <w:rPr>
          <w:rFonts w:hint="eastAsia" w:ascii="Times New Roman" w:hAnsi="Times New Roman" w:eastAsia="仿宋_GB2312" w:cs="宋体"/>
          <w:color w:val="000000"/>
          <w:kern w:val="0"/>
          <w:sz w:val="32"/>
          <w:szCs w:val="32"/>
        </w:rPr>
        <w:t>20件</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推荐作品直接进入终选环节。</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同一作品，仅可选择三种方式（自荐、教育部直属高校及部省合建高校推荐、省级教育工作部门推荐）中的一种参与活动，重复提交即视为放弃参与资格。</w:t>
      </w:r>
    </w:p>
    <w:p>
      <w:pPr>
        <w:wordWrap w:val="0"/>
        <w:spacing w:line="600" w:lineRule="exact"/>
        <w:ind w:firstLine="640" w:firstLineChars="200"/>
        <w:rPr>
          <w:rFonts w:ascii="Times New Roman" w:hAnsi="Times New Roman" w:eastAsia="仿宋_GB2312" w:cs="Times New Roman"/>
          <w:color w:val="000000"/>
          <w:kern w:val="0"/>
          <w:sz w:val="32"/>
          <w:szCs w:val="32"/>
        </w:rPr>
      </w:pPr>
    </w:p>
    <w:p>
      <w:pPr>
        <w:wordWrap w:val="0"/>
        <w:spacing w:line="600" w:lineRule="exact"/>
        <w:ind w:firstLine="640" w:firstLineChars="200"/>
        <w:rPr>
          <w:rFonts w:ascii="Times New Roman" w:hAnsi="Times New Roman" w:eastAsia="仿宋_GB2312" w:cs="Times New Roman"/>
          <w:color w:val="000000"/>
          <w:kern w:val="0"/>
          <w:sz w:val="32"/>
          <w:szCs w:val="32"/>
        </w:rPr>
      </w:pPr>
    </w:p>
    <w:p>
      <w:pPr>
        <w:wordWrap w:val="0"/>
        <w:spacing w:line="600" w:lineRule="exact"/>
        <w:ind w:firstLine="640" w:firstLineChars="200"/>
        <w:rPr>
          <w:rFonts w:ascii="Times New Roman" w:hAnsi="Times New Roman" w:eastAsia="仿宋_GB2312" w:cs="Times New Roman"/>
          <w:color w:val="000000"/>
          <w:kern w:val="0"/>
          <w:sz w:val="32"/>
          <w:szCs w:val="32"/>
        </w:rPr>
      </w:pP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第五届全国高校网络教育优秀作品推选展示活动</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pStyle w:val="22"/>
        <w:wordWrap w:val="0"/>
        <w:spacing w:line="600" w:lineRule="exact"/>
        <w:ind w:firstLine="64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1.学习宣传习近平新时代中国特色社会主义思想</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2.学习宣传党的十九届五中全会精神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3.学习宣传习近平总书记关于教育的重要论述</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新时代</w:t>
      </w:r>
      <w:r>
        <w:rPr>
          <w:rFonts w:hint="eastAsia" w:ascii="Times New Roman" w:hAnsi="Times New Roman" w:eastAsia="仿宋_GB2312" w:cs="Times New Roman"/>
          <w:color w:val="000000"/>
          <w:kern w:val="0"/>
          <w:sz w:val="32"/>
          <w:szCs w:val="32"/>
        </w:rPr>
        <w:t>大</w:t>
      </w:r>
      <w:r>
        <w:rPr>
          <w:rFonts w:ascii="Times New Roman" w:hAnsi="Times New Roman" w:eastAsia="仿宋_GB2312" w:cs="Times New Roman"/>
          <w:color w:val="000000"/>
          <w:kern w:val="0"/>
          <w:sz w:val="32"/>
          <w:szCs w:val="32"/>
        </w:rPr>
        <w:t>学生理想信念、价值</w:t>
      </w:r>
      <w:r>
        <w:rPr>
          <w:rFonts w:hint="eastAsia" w:ascii="Times New Roman" w:hAnsi="Times New Roman" w:eastAsia="仿宋_GB2312" w:cs="Times New Roman"/>
          <w:color w:val="000000"/>
          <w:kern w:val="0"/>
          <w:sz w:val="32"/>
          <w:szCs w:val="32"/>
        </w:rPr>
        <w:t>理</w:t>
      </w:r>
      <w:r>
        <w:rPr>
          <w:rFonts w:ascii="Times New Roman" w:hAnsi="Times New Roman" w:eastAsia="仿宋_GB2312" w:cs="Times New Roman"/>
          <w:color w:val="000000"/>
          <w:kern w:val="0"/>
          <w:sz w:val="32"/>
          <w:szCs w:val="32"/>
        </w:rPr>
        <w:t>念、道德观念教育</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10.</w:t>
      </w:r>
      <w:r>
        <w:rPr>
          <w:rFonts w:ascii="Times New Roman" w:hAnsi="Times New Roman" w:eastAsia="仿宋_GB2312" w:cs="Times New Roman"/>
          <w:color w:val="000000"/>
          <w:kern w:val="0"/>
          <w:sz w:val="32"/>
          <w:szCs w:val="32"/>
        </w:rPr>
        <w:t>推动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三全育人</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综合改革的思考与实践</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提升高校思想政治教育亲和力和针对性的思考</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w:t>
      </w:r>
      <w:r>
        <w:rPr>
          <w:rFonts w:ascii="Times New Roman" w:hAnsi="Times New Roman" w:eastAsia="仿宋_GB2312" w:cs="Times New Roman"/>
          <w:color w:val="000000"/>
          <w:kern w:val="0"/>
          <w:sz w:val="32"/>
          <w:szCs w:val="32"/>
        </w:rPr>
        <w:t>高校思想政治工作体系构建</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w:t>
      </w:r>
      <w:r>
        <w:rPr>
          <w:rFonts w:ascii="Times New Roman" w:hAnsi="Times New Roman" w:eastAsia="仿宋_GB2312" w:cs="Times New Roman"/>
          <w:color w:val="000000"/>
          <w:kern w:val="0"/>
          <w:sz w:val="32"/>
          <w:szCs w:val="32"/>
        </w:rPr>
        <w:t>少数民族学生思想政治教育与管理服务</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w:t>
      </w:r>
      <w:r>
        <w:rPr>
          <w:rFonts w:ascii="Times New Roman" w:hAnsi="Times New Roman" w:eastAsia="仿宋_GB2312" w:cs="Times New Roman"/>
          <w:color w:val="000000"/>
          <w:kern w:val="0"/>
          <w:sz w:val="32"/>
          <w:szCs w:val="32"/>
        </w:rPr>
        <w:t>高校辅导员</w:t>
      </w:r>
      <w:r>
        <w:rPr>
          <w:rFonts w:hint="eastAsia" w:ascii="Times New Roman" w:hAnsi="Times New Roman" w:eastAsia="仿宋_GB2312" w:cs="Times New Roman"/>
          <w:color w:val="000000"/>
          <w:kern w:val="0"/>
          <w:sz w:val="32"/>
          <w:szCs w:val="32"/>
        </w:rPr>
        <w:t>队伍建设及</w:t>
      </w:r>
      <w:r>
        <w:rPr>
          <w:rFonts w:ascii="Times New Roman" w:hAnsi="Times New Roman" w:eastAsia="仿宋_GB2312" w:cs="Times New Roman"/>
          <w:color w:val="000000"/>
          <w:kern w:val="0"/>
          <w:sz w:val="32"/>
          <w:szCs w:val="32"/>
        </w:rPr>
        <w:t>职业</w:t>
      </w:r>
      <w:r>
        <w:rPr>
          <w:rFonts w:hint="eastAsia" w:ascii="Times New Roman" w:hAnsi="Times New Roman" w:eastAsia="仿宋_GB2312" w:cs="Times New Roman"/>
          <w:color w:val="000000"/>
          <w:kern w:val="0"/>
          <w:sz w:val="32"/>
          <w:szCs w:val="32"/>
        </w:rPr>
        <w:t>发展</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15.体现高校</w:t>
      </w:r>
      <w:r>
        <w:rPr>
          <w:rFonts w:hint="eastAsia" w:ascii="Times New Roman" w:hAnsi="Times New Roman" w:eastAsia="仿宋_GB2312" w:cs="Times New Roman"/>
          <w:sz w:val="32"/>
          <w:szCs w:val="32"/>
        </w:rPr>
        <w:t>在疫情防控、脱贫攻坚、乡村振兴等方面典型做法</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16.加强</w:t>
      </w:r>
      <w:r>
        <w:rPr>
          <w:rFonts w:ascii="Times New Roman" w:hAnsi="Times New Roman" w:eastAsia="仿宋_GB2312" w:cs="Times New Roman"/>
          <w:color w:val="000000"/>
          <w:kern w:val="0"/>
          <w:sz w:val="32"/>
          <w:szCs w:val="32"/>
        </w:rPr>
        <w:t>校园文化建设</w:t>
      </w:r>
      <w:r>
        <w:rPr>
          <w:rFonts w:hint="eastAsia" w:ascii="Times New Roman" w:hAnsi="Times New Roman" w:eastAsia="仿宋_GB2312" w:cs="Times New Roman"/>
          <w:color w:val="000000"/>
          <w:kern w:val="0"/>
          <w:sz w:val="32"/>
          <w:szCs w:val="32"/>
        </w:rPr>
        <w:t>，推动中华优秀传统文化进校园</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w:t>
      </w:r>
      <w:r>
        <w:rPr>
          <w:rFonts w:ascii="Times New Roman" w:hAnsi="Times New Roman" w:eastAsia="仿宋_GB2312" w:cs="Times New Roman"/>
          <w:color w:val="000000"/>
          <w:kern w:val="0"/>
          <w:sz w:val="32"/>
          <w:szCs w:val="32"/>
        </w:rPr>
        <w:t>优良</w:t>
      </w:r>
      <w:r>
        <w:rPr>
          <w:rFonts w:hint="eastAsia" w:ascii="Times New Roman" w:hAnsi="Times New Roman" w:eastAsia="仿宋_GB2312" w:cs="Times New Roman"/>
          <w:color w:val="000000"/>
          <w:kern w:val="0"/>
          <w:sz w:val="32"/>
          <w:szCs w:val="32"/>
        </w:rPr>
        <w:t>的</w:t>
      </w:r>
      <w:r>
        <w:rPr>
          <w:rFonts w:ascii="Times New Roman" w:hAnsi="Times New Roman" w:eastAsia="仿宋_GB2312" w:cs="Times New Roman"/>
          <w:color w:val="000000"/>
          <w:kern w:val="0"/>
          <w:sz w:val="32"/>
          <w:szCs w:val="32"/>
        </w:rPr>
        <w:t>校风、学风培育</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18.大学生的</w:t>
      </w:r>
      <w:r>
        <w:rPr>
          <w:rFonts w:ascii="Times New Roman" w:hAnsi="Times New Roman" w:eastAsia="仿宋_GB2312" w:cs="Times New Roman"/>
          <w:color w:val="000000"/>
          <w:kern w:val="0"/>
          <w:sz w:val="32"/>
          <w:szCs w:val="32"/>
        </w:rPr>
        <w:t>心理健康教育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法治素养教育</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19.提升师生网络素养，维护网络安全</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color w:val="000000"/>
          <w:kern w:val="0"/>
          <w:sz w:val="32"/>
          <w:szCs w:val="32"/>
        </w:rPr>
        <w:t>倡导理性消费，揭示网络游戏成瘾、网络赌博、不良网贷的危害</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21.坚持总体国家安全观，自觉维护国家安全</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22.扫黑除恶、净化环境，共建平安</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23.共筑反奸防谍人民防线</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24.守护师生安全，建设平安校园</w:t>
      </w:r>
    </w:p>
    <w:p>
      <w:pPr>
        <w:pStyle w:val="22"/>
        <w:wordWrap w:val="0"/>
        <w:spacing w:line="600" w:lineRule="exact"/>
        <w:ind w:firstLine="602"/>
        <w:rPr>
          <w:rFonts w:ascii="Times New Roman" w:hAnsi="Times New Roman" w:cs="Times New Roman"/>
          <w:szCs w:val="24"/>
        </w:rPr>
        <w:sectPr>
          <w:footerReference r:id="rId3" w:type="default"/>
          <w:pgSz w:w="11906" w:h="16838"/>
          <w:pgMar w:top="1440" w:right="1558" w:bottom="1440" w:left="1560" w:header="851" w:footer="992" w:gutter="0"/>
          <w:pgNumType w:start="1"/>
          <w:cols w:space="425" w:num="1"/>
          <w:docGrid w:type="lines" w:linePitch="312" w:charSpace="0"/>
        </w:sectPr>
      </w:pPr>
      <w:r>
        <w:rPr>
          <w:rFonts w:hint="eastAsia" w:ascii="Times New Roman" w:hAnsi="Times New Roman" w:eastAsia="仿宋_GB2312" w:cs="Times New Roman"/>
          <w:b/>
          <w:bCs/>
          <w:color w:val="000000"/>
          <w:sz w:val="30"/>
          <w:szCs w:val="30"/>
        </w:rPr>
        <w:t>（供创作参考，不限于以上主题）</w:t>
      </w:r>
    </w:p>
    <w:p>
      <w:pPr>
        <w:spacing w:line="360" w:lineRule="exact"/>
        <w:jc w:val="left"/>
        <w:rPr>
          <w:rFonts w:ascii="Times New Roman" w:hAnsi="Times New Roman" w:cs="Times New Roman"/>
          <w:szCs w:val="24"/>
        </w:rPr>
      </w:pPr>
      <w:bookmarkStart w:id="2" w:name="_GoBack"/>
      <w:bookmarkEnd w:id="2"/>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1AF3"/>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16E6"/>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2093"/>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3FF"/>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1C60"/>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E79C2"/>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E707DDC"/>
    <w:rsid w:val="0EB35603"/>
    <w:rsid w:val="17E67644"/>
    <w:rsid w:val="18FD21C6"/>
    <w:rsid w:val="1CE974ED"/>
    <w:rsid w:val="261B575D"/>
    <w:rsid w:val="2B1322E2"/>
    <w:rsid w:val="2DB25295"/>
    <w:rsid w:val="3A2331ED"/>
    <w:rsid w:val="3CB07DDD"/>
    <w:rsid w:val="411A750D"/>
    <w:rsid w:val="44F818B0"/>
    <w:rsid w:val="4DFE70C0"/>
    <w:rsid w:val="54204FD5"/>
    <w:rsid w:val="5965333B"/>
    <w:rsid w:val="5B9F31C3"/>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 w:val="7C3C1C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semiHidden/>
    <w:unhideWhenUsed/>
    <w:qFormat/>
    <w:uiPriority w:val="99"/>
    <w:rPr>
      <w:b/>
      <w:bCs/>
    </w:rPr>
  </w:style>
  <w:style w:type="character" w:styleId="12">
    <w:name w:val="Strong"/>
    <w:basedOn w:val="11"/>
    <w:qFormat/>
    <w:uiPriority w:val="22"/>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character" w:customStyle="1" w:styleId="17">
    <w:name w:val="批注框文本 字符"/>
    <w:basedOn w:val="11"/>
    <w:link w:val="6"/>
    <w:semiHidden/>
    <w:qFormat/>
    <w:uiPriority w:val="99"/>
    <w:rPr>
      <w:sz w:val="18"/>
      <w:szCs w:val="18"/>
    </w:rPr>
  </w:style>
  <w:style w:type="character" w:customStyle="1" w:styleId="18">
    <w:name w:val="日期 字符"/>
    <w:basedOn w:val="11"/>
    <w:link w:val="5"/>
    <w:semiHidden/>
    <w:qFormat/>
    <w:uiPriority w:val="99"/>
  </w:style>
  <w:style w:type="character" w:customStyle="1" w:styleId="19">
    <w:name w:val="批注文字 字符"/>
    <w:basedOn w:val="11"/>
    <w:link w:val="4"/>
    <w:semiHidden/>
    <w:qFormat/>
    <w:uiPriority w:val="99"/>
    <w:rPr>
      <w:kern w:val="2"/>
      <w:sz w:val="21"/>
      <w:szCs w:val="22"/>
    </w:rPr>
  </w:style>
  <w:style w:type="character" w:customStyle="1" w:styleId="20">
    <w:name w:val="批注主题 字符"/>
    <w:basedOn w:val="19"/>
    <w:link w:val="9"/>
    <w:semiHidden/>
    <w:qFormat/>
    <w:uiPriority w:val="99"/>
    <w:rPr>
      <w:b/>
      <w:bCs/>
      <w:kern w:val="2"/>
      <w:sz w:val="21"/>
      <w:szCs w:val="22"/>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标题 1 字符"/>
    <w:basedOn w:val="11"/>
    <w:link w:val="2"/>
    <w:qFormat/>
    <w:uiPriority w:val="9"/>
    <w:rPr>
      <w:rFonts w:ascii="宋体" w:hAnsi="宋体" w:eastAsia="宋体" w:cs="宋体"/>
      <w:b/>
      <w:bCs/>
      <w:kern w:val="36"/>
      <w:sz w:val="48"/>
      <w:szCs w:val="48"/>
    </w:rPr>
  </w:style>
  <w:style w:type="character" w:customStyle="1" w:styleId="24">
    <w:name w:val="标题 3 字符"/>
    <w:basedOn w:val="11"/>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F9ED4-3D69-4F82-9F2A-E89AB613131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641</Words>
  <Characters>3656</Characters>
  <Lines>30</Lines>
  <Paragraphs>8</Paragraphs>
  <TotalTime>30</TotalTime>
  <ScaleCrop>false</ScaleCrop>
  <LinksUpToDate>false</LinksUpToDate>
  <CharactersWithSpaces>4289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2020-10-23T05:55:00Z</dcterms:created>
  <dc:creator>a</dc:creator>
  <cp:lastModifiedBy>刘祚衡</cp:lastModifiedBy>
  <cp:lastPrinted>2020-11-16T07:48:00Z</cp:lastPrinted>
  <dcterms:modified xsi:type="dcterms:W3CDTF">2021-01-14T08:58:30Z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